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A2" w:rsidRDefault="008F30A2" w:rsidP="008F30A2">
      <w:pPr>
        <w:pStyle w:val="berschrift1"/>
      </w:pPr>
      <w:r>
        <w:t>Protokoll P</w:t>
      </w:r>
      <w:r w:rsidR="00D347E4">
        <w:t xml:space="preserve"> (</w:t>
      </w:r>
      <w:r w:rsidR="00006D29">
        <w:t xml:space="preserve">Parasiten, </w:t>
      </w:r>
      <w:r w:rsidR="00D347E4">
        <w:t>30 ppm</w:t>
      </w:r>
      <w:r w:rsidR="00006D29">
        <w:t xml:space="preserve"> +Zusatzmittel</w:t>
      </w:r>
      <w:r w:rsidR="00D347E4">
        <w:t>)</w:t>
      </w:r>
    </w:p>
    <w:p w:rsidR="008F30A2" w:rsidRDefault="008F30A2" w:rsidP="008F30A2">
      <w:pPr>
        <w:pStyle w:val="berschrift4"/>
      </w:pPr>
      <w:r>
        <w:t>(Parasiten‐, Intensiv‐Protokoll)</w:t>
      </w:r>
    </w:p>
    <w:p w:rsidR="008F30A2" w:rsidRDefault="008F30A2" w:rsidP="008F30A2">
      <w:pPr>
        <w:pStyle w:val="berschrift4"/>
      </w:pPr>
      <w:r>
        <w:t>Ziel:</w:t>
      </w:r>
    </w:p>
    <w:p w:rsidR="008F30A2" w:rsidRDefault="008F30A2" w:rsidP="008F30A2">
      <w:r>
        <w:t>Das Protokoll P konzentriert sich auf die intensive und wirksame Behandlung von Parasiten. Dabei werden Medikamente eingesetzt, die die Parasiten direkt angreifen.</w:t>
      </w:r>
    </w:p>
    <w:p w:rsidR="008F30A2" w:rsidRDefault="008F30A2" w:rsidP="008F30A2">
      <w:r>
        <w:t>Vergewissern Sie sich, dass dieses Protokoll für Ihre Situation geeignet ist, und konsultieren Sie einen Arzt, bevor Sie die Behandlung beginnen.</w:t>
      </w:r>
    </w:p>
    <w:p w:rsidR="00F45279" w:rsidRDefault="008F30A2" w:rsidP="00006D29">
      <w:pPr>
        <w:pStyle w:val="Punktliste1"/>
      </w:pPr>
      <w:r w:rsidRPr="008F30A2">
        <w:t xml:space="preserve">Protokoll P wird durchgehend mit </w:t>
      </w:r>
      <w:r w:rsidRPr="00F45279">
        <w:rPr>
          <w:b/>
        </w:rPr>
        <w:t>Protokoll C</w:t>
      </w:r>
      <w:r w:rsidR="00D347E4" w:rsidRPr="00F45279">
        <w:rPr>
          <w:b/>
        </w:rPr>
        <w:t xml:space="preserve"> (30 ppm)</w:t>
      </w:r>
      <w:r w:rsidRPr="00F45279">
        <w:rPr>
          <w:b/>
        </w:rPr>
        <w:t xml:space="preserve"> und E</w:t>
      </w:r>
      <w:r w:rsidRPr="008F30A2">
        <w:t xml:space="preserve"> </w:t>
      </w:r>
      <w:r w:rsidR="00D347E4">
        <w:t xml:space="preserve">(30 ppm) </w:t>
      </w:r>
      <w:r w:rsidRPr="008F30A2">
        <w:t>kombiniert.</w:t>
      </w:r>
    </w:p>
    <w:p w:rsidR="00F45279" w:rsidRDefault="00F45279" w:rsidP="00006D29">
      <w:pPr>
        <w:pStyle w:val="Punktliste1"/>
      </w:pPr>
      <w:r>
        <w:t xml:space="preserve">Zusatzmittel: </w:t>
      </w:r>
      <w:bookmarkStart w:id="0" w:name="_GoBack"/>
      <w:r w:rsidRPr="008F30A2">
        <w:rPr>
          <w:b/>
          <w:highlight w:val="yellow"/>
        </w:rPr>
        <w:t>Pyrantelpamoat</w:t>
      </w:r>
      <w:r>
        <w:rPr>
          <w:b/>
        </w:rPr>
        <w:t xml:space="preserve">, </w:t>
      </w:r>
      <w:r w:rsidRPr="008F30A2">
        <w:rPr>
          <w:b/>
          <w:highlight w:val="yellow"/>
        </w:rPr>
        <w:t>Kieselgur</w:t>
      </w:r>
      <w:r>
        <w:rPr>
          <w:b/>
        </w:rPr>
        <w:t xml:space="preserve">, </w:t>
      </w:r>
      <w:r w:rsidRPr="008F30A2">
        <w:rPr>
          <w:b/>
          <w:highlight w:val="yellow"/>
        </w:rPr>
        <w:t>Zeolith‐Klinoptilolith</w:t>
      </w:r>
      <w:r>
        <w:rPr>
          <w:b/>
        </w:rPr>
        <w:t xml:space="preserve">, </w:t>
      </w:r>
      <w:r w:rsidRPr="008F30A2">
        <w:rPr>
          <w:b/>
          <w:highlight w:val="yellow"/>
        </w:rPr>
        <w:t>Mebendazol</w:t>
      </w:r>
      <w:r>
        <w:rPr>
          <w:b/>
        </w:rPr>
        <w:t xml:space="preserve">, </w:t>
      </w:r>
      <w:r w:rsidRPr="008F30A2">
        <w:rPr>
          <w:b/>
          <w:highlight w:val="yellow"/>
        </w:rPr>
        <w:t>Rizinusöl</w:t>
      </w:r>
      <w:r>
        <w:rPr>
          <w:b/>
        </w:rPr>
        <w:t xml:space="preserve">, </w:t>
      </w:r>
      <w:r w:rsidRPr="008F30A2">
        <w:rPr>
          <w:b/>
          <w:highlight w:val="yellow"/>
        </w:rPr>
        <w:t>Neem‐Tee</w:t>
      </w:r>
      <w:r>
        <w:rPr>
          <w:b/>
        </w:rPr>
        <w:t xml:space="preserve">, </w:t>
      </w:r>
      <w:r w:rsidRPr="00D347E4">
        <w:rPr>
          <w:b/>
          <w:highlight w:val="yellow"/>
        </w:rPr>
        <w:t>Epazote‐Tee</w:t>
      </w:r>
      <w:r w:rsidRPr="008F30A2">
        <w:rPr>
          <w:highlight w:val="yellow"/>
        </w:rPr>
        <w:t xml:space="preserve"> (Wohlriechender Gänsefuß)</w:t>
      </w:r>
      <w:r>
        <w:t xml:space="preserve">, </w:t>
      </w:r>
      <w:r w:rsidRPr="00F45279">
        <w:rPr>
          <w:b/>
          <w:highlight w:val="yellow"/>
        </w:rPr>
        <w:t>Aloe vera</w:t>
      </w:r>
      <w:bookmarkEnd w:id="0"/>
    </w:p>
    <w:p w:rsidR="00F45279" w:rsidRDefault="00F45279" w:rsidP="00006D29">
      <w:pPr>
        <w:pStyle w:val="Punktliste1"/>
      </w:pPr>
    </w:p>
    <w:p w:rsidR="008F30A2" w:rsidRDefault="008F30A2" w:rsidP="00006D29">
      <w:pPr>
        <w:pStyle w:val="Punktliste1"/>
      </w:pPr>
      <w:r>
        <w:t>Die Tage 1 bis 8 werden alle drei Monate durchgeführt.</w:t>
      </w:r>
    </w:p>
    <w:p w:rsidR="008F30A2" w:rsidRDefault="008F30A2" w:rsidP="008F30A2">
      <w:pPr>
        <w:pStyle w:val="berschrift4"/>
      </w:pPr>
      <w:r>
        <w:t>Erster Monat</w:t>
      </w:r>
    </w:p>
    <w:p w:rsidR="008F30A2" w:rsidRDefault="008F30A2" w:rsidP="008F30A2">
      <w:pPr>
        <w:pStyle w:val="berschrift5"/>
      </w:pPr>
      <w:r>
        <w:t>• Tag 1</w:t>
      </w:r>
    </w:p>
    <w:p w:rsidR="008F30A2" w:rsidRDefault="008F30A2" w:rsidP="008F30A2">
      <w:r>
        <w:t xml:space="preserve">‐ </w:t>
      </w:r>
      <w:r w:rsidRPr="008F30A2">
        <w:rPr>
          <w:b/>
          <w:highlight w:val="yellow"/>
        </w:rPr>
        <w:t>Pyrantelpamoat</w:t>
      </w:r>
      <w:r w:rsidRPr="008F30A2">
        <w:rPr>
          <w:b/>
        </w:rPr>
        <w:t>:</w:t>
      </w:r>
      <w:r>
        <w:t xml:space="preserve"> Einnahme morgens in einer Dosis von 10 mg/kg Körpergewicht, mit etwas Flüssigkeit. Das Medikament ist in mehreren Formen erhältlich.</w:t>
      </w:r>
    </w:p>
    <w:p w:rsidR="008F30A2" w:rsidRDefault="008F30A2" w:rsidP="008F30A2">
      <w:r>
        <w:t>Flüssig enthält es 250 mg pro 5 ml. Wenn Sie das Medikament in Tablettenform einnehmen, nehmen Sie 3 Tabletten für 60 kg Körpergewicht. Dies ist die Höchstdosis, die verwendet werden sollte, auch, wenn der Patient mehr wiegt.</w:t>
      </w:r>
    </w:p>
    <w:p w:rsidR="008F30A2" w:rsidRDefault="008F30A2" w:rsidP="008F30A2">
      <w:r>
        <w:t xml:space="preserve">‐ </w:t>
      </w:r>
      <w:r w:rsidRPr="008F30A2">
        <w:rPr>
          <w:b/>
          <w:highlight w:val="yellow"/>
        </w:rPr>
        <w:t>Kieselgur</w:t>
      </w:r>
      <w:r w:rsidRPr="008F30A2">
        <w:rPr>
          <w:b/>
        </w:rPr>
        <w:t>:</w:t>
      </w:r>
      <w:r>
        <w:t xml:space="preserve"> Nehmen Sie einen Teelöffel Kieselgur zweimal täglich zu den Mahlzeiten, vorzugsweise mit Flüssigkeit, morgens und abends ein.</w:t>
      </w:r>
    </w:p>
    <w:p w:rsidR="008F30A2" w:rsidRDefault="008F30A2" w:rsidP="008F30A2">
      <w:r>
        <w:t xml:space="preserve">‐ </w:t>
      </w:r>
      <w:r w:rsidRPr="008F30A2">
        <w:rPr>
          <w:b/>
          <w:highlight w:val="yellow"/>
        </w:rPr>
        <w:t>Zeolith‐Klinoptilolith</w:t>
      </w:r>
      <w:r>
        <w:t>: Kombinieren Sie einen halben Teelöffel (Plastik‐/Holzlöffel) Zeolith mit einem halben Teelöffel Kieselgur, um Toxine, Candida, Parasiten und deren Rückstände effektiver auszuscheiden, zur Versiegelung eines durchlässigen Darms, um den Stoffwechsel zu verbessern und die Symptomatik der Toxin‐Kaskade zu verringern.</w:t>
      </w:r>
    </w:p>
    <w:p w:rsidR="008F30A2" w:rsidRDefault="008F30A2" w:rsidP="008F30A2">
      <w:pPr>
        <w:pStyle w:val="berschrift5"/>
      </w:pPr>
      <w:r>
        <w:lastRenderedPageBreak/>
        <w:t>• Tag 2</w:t>
      </w:r>
    </w:p>
    <w:p w:rsidR="008F30A2" w:rsidRDefault="008F30A2" w:rsidP="008F30A2">
      <w:r>
        <w:t xml:space="preserve">‐ </w:t>
      </w:r>
      <w:r w:rsidRPr="008F30A2">
        <w:rPr>
          <w:b/>
          <w:highlight w:val="yellow"/>
        </w:rPr>
        <w:t>Mebendazol</w:t>
      </w:r>
      <w:r w:rsidRPr="008F30A2">
        <w:rPr>
          <w:highlight w:val="yellow"/>
        </w:rPr>
        <w:t>:</w:t>
      </w:r>
      <w:r>
        <w:t xml:space="preserve"> Nehmen Sie 100 mg alle zwölf Stunden ein (eine Tablette morgens und eine abends).</w:t>
      </w:r>
    </w:p>
    <w:p w:rsidR="008F30A2" w:rsidRDefault="008F30A2" w:rsidP="008F30A2">
      <w:r>
        <w:t xml:space="preserve">‐ </w:t>
      </w:r>
      <w:r w:rsidRPr="008F30A2">
        <w:rPr>
          <w:b/>
        </w:rPr>
        <w:t>Kieselgur</w:t>
      </w:r>
      <w:r>
        <w:t xml:space="preserve">: Wie an Tag 1, einen Teelöffel zweimal täglich zu den Mahlzeiten (morgens und abends), vorzugsweise mit Flüssigkeit. ODER kombinieren Sie einen halben Teelöffel (Plastik‐/Holzlöffel) </w:t>
      </w:r>
      <w:r w:rsidRPr="008F30A2">
        <w:rPr>
          <w:b/>
        </w:rPr>
        <w:t>Zeolith‐Klinoptilolith</w:t>
      </w:r>
      <w:r>
        <w:t xml:space="preserve"> mit einem halben Teelöffel Kieselgur zweimal täglich zu den Mahlzeiten (morgens und abends), vorzugsweise mit Flüssigkeit.</w:t>
      </w:r>
    </w:p>
    <w:p w:rsidR="008F30A2" w:rsidRDefault="008F30A2" w:rsidP="008F30A2">
      <w:pPr>
        <w:pStyle w:val="berschrift5"/>
      </w:pPr>
      <w:r>
        <w:t>• Tag 3</w:t>
      </w:r>
    </w:p>
    <w:p w:rsidR="008F30A2" w:rsidRDefault="008F30A2" w:rsidP="008F30A2">
      <w:r>
        <w:t xml:space="preserve">‐ </w:t>
      </w:r>
      <w:r w:rsidRPr="008F30A2">
        <w:rPr>
          <w:b/>
          <w:highlight w:val="yellow"/>
        </w:rPr>
        <w:t>Rizinusöl</w:t>
      </w:r>
      <w:r w:rsidRPr="008F30A2">
        <w:rPr>
          <w:b/>
        </w:rPr>
        <w:t>:</w:t>
      </w:r>
      <w:r>
        <w:t xml:space="preserve"> Nehmen Sie zwei Esslöffel (geschmacksneutrale Variante in der Apotheke erhältlich) auf nüchternen Magen ein.</w:t>
      </w:r>
    </w:p>
    <w:p w:rsidR="008F30A2" w:rsidRDefault="008F30A2" w:rsidP="008F30A2">
      <w:r>
        <w:t xml:space="preserve">‐ </w:t>
      </w:r>
      <w:r w:rsidRPr="008F30A2">
        <w:rPr>
          <w:b/>
        </w:rPr>
        <w:t>Mebendazol</w:t>
      </w:r>
      <w:r>
        <w:t>: Wie an Tag 2, alle zwölf Stunden 100 mg einnehmen.</w:t>
      </w:r>
    </w:p>
    <w:p w:rsidR="008F30A2" w:rsidRDefault="008F30A2" w:rsidP="008F30A2">
      <w:r>
        <w:t xml:space="preserve">‐ </w:t>
      </w:r>
      <w:r w:rsidRPr="008F30A2">
        <w:rPr>
          <w:b/>
        </w:rPr>
        <w:t>Kieselgur</w:t>
      </w:r>
      <w:r>
        <w:t xml:space="preserve">: Wie an Tag 1, einen Teelöffel zweimal täglich zu den Mahlzeiten (morgens und abends), vorzugsweise mit Flüssigkeit. ODER kombinieren Sie einen halben Teelöffel (Plastik‐/Holzlöffel) </w:t>
      </w:r>
      <w:r w:rsidRPr="008F30A2">
        <w:rPr>
          <w:b/>
        </w:rPr>
        <w:t>Zeolith‐Klinoptilolith</w:t>
      </w:r>
      <w:r>
        <w:t xml:space="preserve"> mit einem halben Teelöffel Kieselgur zweimal täglich zu den Mahlzeiten (morgens und abends), vorzugsweise mit Flüssigkeit.</w:t>
      </w:r>
    </w:p>
    <w:p w:rsidR="008F30A2" w:rsidRDefault="008F30A2" w:rsidP="008F30A2">
      <w:pPr>
        <w:pStyle w:val="berschrift5"/>
      </w:pPr>
      <w:r>
        <w:t>• Tag 4</w:t>
      </w:r>
    </w:p>
    <w:p w:rsidR="008F30A2" w:rsidRDefault="008F30A2" w:rsidP="008F30A2">
      <w:r>
        <w:t xml:space="preserve">‐ </w:t>
      </w:r>
      <w:r w:rsidRPr="008F30A2">
        <w:rPr>
          <w:b/>
        </w:rPr>
        <w:t>Mebendazol</w:t>
      </w:r>
      <w:r>
        <w:t>: Alle zwölf Stunden 100 mg einnehmen.</w:t>
      </w:r>
    </w:p>
    <w:p w:rsidR="008F30A2" w:rsidRDefault="008F30A2" w:rsidP="008F30A2">
      <w:r>
        <w:t>Wie an Tag 1, einen Teelöffel zweimal täglich zu den Mahlzeiten (morgens und abends), vorzugsweise mit Flüssigkeit. ODER kombinieren Sie einen halben Teelöffel (Plastik‐/Holzlöffel) Zeolith‐Klinoptilolith mit einem halben Teelöffel Kieselgur zweimal täglich zu den Mahlzeiten (morgens und abends), vorzugsweise mit Flüssigkeit.</w:t>
      </w:r>
    </w:p>
    <w:p w:rsidR="008F30A2" w:rsidRDefault="008F30A2" w:rsidP="008F30A2">
      <w:pPr>
        <w:pStyle w:val="berschrift5"/>
      </w:pPr>
      <w:r>
        <w:t>• Tag 5</w:t>
      </w:r>
    </w:p>
    <w:p w:rsidR="008F30A2" w:rsidRDefault="008F30A2" w:rsidP="008F30A2">
      <w:r>
        <w:t xml:space="preserve">‐ </w:t>
      </w:r>
      <w:r w:rsidRPr="00D347E4">
        <w:rPr>
          <w:b/>
        </w:rPr>
        <w:t>Pyrantelpamoat</w:t>
      </w:r>
      <w:r>
        <w:t>: Nehmen Sie eine Dosis von 10 mg/kg mit etwas Flüssigkeit ein, wie an Tag 1.</w:t>
      </w:r>
    </w:p>
    <w:p w:rsidR="008F30A2" w:rsidRDefault="008F30A2" w:rsidP="008F30A2">
      <w:r>
        <w:t xml:space="preserve">‐ </w:t>
      </w:r>
      <w:r w:rsidRPr="008F30A2">
        <w:rPr>
          <w:b/>
        </w:rPr>
        <w:t>Kieselgur</w:t>
      </w:r>
      <w:r>
        <w:t>: Wie an Tag 1, einen Teelöffel zweimal täglich zu den Mahlzeiten (morgens und abends), vorzugsweise mit Flüssigkeit. ODER kombinieren Sie einen halben Teelöffel (Plastik‐/Holzlöffel) Zeolith‐Klinoptilolith mit einem halben Teelöffel Kieselgur zweimal täglich zu den Mahlzeiten (morgens und abends), vorzugsweise mit Flüssigkeit.</w:t>
      </w:r>
    </w:p>
    <w:p w:rsidR="008F30A2" w:rsidRDefault="008F30A2" w:rsidP="008F30A2">
      <w:pPr>
        <w:pStyle w:val="berschrift5"/>
      </w:pPr>
      <w:r>
        <w:t>• Tag 6</w:t>
      </w:r>
    </w:p>
    <w:p w:rsidR="008F30A2" w:rsidRDefault="008F30A2" w:rsidP="008F30A2">
      <w:r>
        <w:t xml:space="preserve">‐ </w:t>
      </w:r>
      <w:r w:rsidRPr="008F30A2">
        <w:rPr>
          <w:b/>
        </w:rPr>
        <w:t>Rizinusöl</w:t>
      </w:r>
      <w:r>
        <w:t>: Nehmen Sie zwei Esslöffel auf nüchternen Magen.</w:t>
      </w:r>
    </w:p>
    <w:p w:rsidR="008F30A2" w:rsidRDefault="008F30A2" w:rsidP="008F30A2">
      <w:r>
        <w:lastRenderedPageBreak/>
        <w:t xml:space="preserve">‐ </w:t>
      </w:r>
      <w:r w:rsidRPr="008F30A2">
        <w:rPr>
          <w:b/>
        </w:rPr>
        <w:t>Mebendazol</w:t>
      </w:r>
      <w:r>
        <w:t>: Wie an den vorangegangenen Tagen, 100 mg alle zwölf Stunden einnehmen.</w:t>
      </w:r>
    </w:p>
    <w:p w:rsidR="008F30A2" w:rsidRDefault="008F30A2" w:rsidP="008F30A2">
      <w:r>
        <w:t xml:space="preserve">‐ </w:t>
      </w:r>
      <w:r w:rsidRPr="008F30A2">
        <w:rPr>
          <w:b/>
        </w:rPr>
        <w:t>Kieselgur</w:t>
      </w:r>
      <w:r>
        <w:t>: Wie an Tag 1, einen Teelöffel zweimal täglich zu den Mahlzeiten (morgens und abends), vorzugsweise mit Flüssigkeit. ODER kombinieren Sie einen halben Teelöffel (Plastik‐/Holzlöffel) Zeolith‐Klinoptilolith mit einem halben Teelöffel Kieselgur zweimal täglich zu den Mahlzeiten (morgens und abends), vorzugsweise mit Flüssigkeit.</w:t>
      </w:r>
    </w:p>
    <w:p w:rsidR="008F30A2" w:rsidRDefault="008F30A2" w:rsidP="008F30A2">
      <w:pPr>
        <w:pStyle w:val="berschrift5"/>
      </w:pPr>
      <w:r>
        <w:t>• Tag 7</w:t>
      </w:r>
    </w:p>
    <w:p w:rsidR="008F30A2" w:rsidRDefault="008F30A2" w:rsidP="008F30A2">
      <w:r>
        <w:t>‐ Mebendazol: Alle zwölf Stunden 100 mg einnehmen</w:t>
      </w:r>
    </w:p>
    <w:p w:rsidR="008F30A2" w:rsidRDefault="008F30A2" w:rsidP="008F30A2">
      <w:r>
        <w:t>‐ Kieselgur: Wie an Tag 1, einen Teelöffel zweimal täglich zu den Mahlzeiten (morgens und abends), vorzugsweise mit Flüssigkeit. ODER kombinieren Sie einen halben Teelöffel (Plastik‐/Holzlöffel) Zeolith‐Klinoptilolith mit einem halben Teelöffel Kieselgur zweimal täglich zu den Mahlzeiten (morgens und abends), vorzugsweise mit Flüssigkeit.</w:t>
      </w:r>
    </w:p>
    <w:p w:rsidR="008F30A2" w:rsidRDefault="008F30A2" w:rsidP="008F30A2">
      <w:pPr>
        <w:pStyle w:val="berschrift5"/>
      </w:pPr>
      <w:r>
        <w:t>• Tag 8</w:t>
      </w:r>
    </w:p>
    <w:p w:rsidR="008F30A2" w:rsidRDefault="008F30A2" w:rsidP="008F30A2">
      <w:r>
        <w:t>‐ Mebendazol: Alle zwölf Stunden 100 mg einnehmen.</w:t>
      </w:r>
    </w:p>
    <w:p w:rsidR="008F30A2" w:rsidRDefault="008F30A2" w:rsidP="008F30A2">
      <w:r>
        <w:t>‐ Kieselgur: Wie an Tag 1, einen Teelöffel zweimal täglich zu den Mahlzeiten (morgens und abends), vorzugsweise mit Flüssigkeit. ODER kombinieren Sie einen halben Teelöffel (Plastik‐/Holzlöffel) Zeolith‐Klinoptilolith mit einem halben Teelöffel Kieselgur zweimal täglich zu den Mahlzeiten (morgens und abends), vorzugsweise mit Flüssigkeit.</w:t>
      </w:r>
    </w:p>
    <w:p w:rsidR="008F30A2" w:rsidRDefault="008F30A2" w:rsidP="008F30A2">
      <w:pPr>
        <w:pStyle w:val="berschrift5"/>
      </w:pPr>
      <w:r>
        <w:t>• Tag 9 bis 18</w:t>
      </w:r>
    </w:p>
    <w:p w:rsidR="008F30A2" w:rsidRDefault="008F30A2" w:rsidP="008F30A2">
      <w:r>
        <w:t xml:space="preserve">‐ </w:t>
      </w:r>
      <w:r w:rsidRPr="008F30A2">
        <w:rPr>
          <w:b/>
        </w:rPr>
        <w:t>Rizinusöl</w:t>
      </w:r>
      <w:r>
        <w:t>: Nehmen Sie zwei Esslöffel auf nüchternen Magen. Wiederholen Sie die Einnahme je nach Befinden und Bedürfnis. Bei anhaltendem Durchfall absetzen.</w:t>
      </w:r>
    </w:p>
    <w:p w:rsidR="008F30A2" w:rsidRDefault="008F30A2" w:rsidP="008F30A2">
      <w:r>
        <w:t xml:space="preserve">‐ </w:t>
      </w:r>
      <w:r w:rsidRPr="008F30A2">
        <w:rPr>
          <w:b/>
        </w:rPr>
        <w:t>Kieselgur</w:t>
      </w:r>
      <w:r>
        <w:t>: Wie an Tag 1, einen Teelöffel zweimal täglich zu den Mahlzeiten (morgens und abends), vorzugsweise mit Flüssigkeit. ODER kombinieren Sie einen halben Teelöffel (Plastik‐/Holzlöffel) Zeolith‐Klinoptilolith mit einem halben Teelöffel Kieselgur zweimal täglich zu den Mahlzeiten (morgens und abends), vorzugsweise mit Flüssigkeit.</w:t>
      </w:r>
    </w:p>
    <w:p w:rsidR="008F30A2" w:rsidRDefault="008F30A2" w:rsidP="008F30A2">
      <w:r>
        <w:t xml:space="preserve">‐ </w:t>
      </w:r>
      <w:r w:rsidRPr="008F30A2">
        <w:rPr>
          <w:b/>
          <w:highlight w:val="yellow"/>
        </w:rPr>
        <w:t>Neem‐Tee</w:t>
      </w:r>
      <w:r>
        <w:t>: Bereiten Sie einen Neem‐Tee zu, indem Sie drei gestrichene Teelöffel Neem‐Blätter in einen Liter Wasser geben. Das Wasser 5 Minuten lang kochen lassen. Den Tee über den Tag verteilt trinken. Alternativ können auch Neem‐Kapseln eingenommen werden oder andere antiparasitär wirkende Tees verwendet werden.</w:t>
      </w:r>
    </w:p>
    <w:p w:rsidR="008F30A2" w:rsidRDefault="008F30A2" w:rsidP="008F30A2">
      <w:r>
        <w:t xml:space="preserve">‐ Führen Sie </w:t>
      </w:r>
      <w:r w:rsidRPr="008F30A2">
        <w:rPr>
          <w:b/>
        </w:rPr>
        <w:t>Einläufe</w:t>
      </w:r>
      <w:r>
        <w:t xml:space="preserve"> nach Bedarf durch.</w:t>
      </w:r>
    </w:p>
    <w:p w:rsidR="008F30A2" w:rsidRDefault="008F30A2" w:rsidP="008F30A2">
      <w:pPr>
        <w:pStyle w:val="berschrift4"/>
      </w:pPr>
      <w:r>
        <w:lastRenderedPageBreak/>
        <w:t>Zweiter Monat</w:t>
      </w:r>
    </w:p>
    <w:p w:rsidR="008F30A2" w:rsidRDefault="008F30A2" w:rsidP="008F30A2">
      <w:r>
        <w:t>• Tag 1 bis 8 (siehe erster Monat)</w:t>
      </w:r>
    </w:p>
    <w:p w:rsidR="008F30A2" w:rsidRDefault="008F30A2" w:rsidP="008F30A2">
      <w:r>
        <w:t>• Tag 9 bis 18</w:t>
      </w:r>
    </w:p>
    <w:p w:rsidR="008F30A2" w:rsidRDefault="008F30A2" w:rsidP="008F30A2">
      <w:r>
        <w:t>‐ Rizinusöl: Nehmen Sie zwei Esslöffel auf nüchternen Magen ein.</w:t>
      </w:r>
    </w:p>
    <w:p w:rsidR="008F30A2" w:rsidRDefault="008F30A2" w:rsidP="008F30A2">
      <w:r>
        <w:t>Wiederholen Sie die Einläufe je nach Bedarf. Bei anhaltendem Durchfall absetzen.</w:t>
      </w:r>
    </w:p>
    <w:p w:rsidR="008F30A2" w:rsidRDefault="008F30A2" w:rsidP="008F30A2">
      <w:r>
        <w:t>‐ Kieselgur: Wie an Tag 1, einen Teelöffel zweimal täglich zu den Mahlzeiten (morgens und abends), vorzugsweise mit Flüssigkeit. ODER kombinieren Sie einen halben Teelöffel (Plastik‐/Holzlöffel) Zeolith‐Klinoptilolith mit einem halben Teelöffel Kieselgur zweimal täglich zu den Mahlzeiten (morgens und abends), vorzugsweise mit Flüssigkeit.</w:t>
      </w:r>
    </w:p>
    <w:p w:rsidR="008F30A2" w:rsidRDefault="008F30A2" w:rsidP="008F30A2">
      <w:r>
        <w:t xml:space="preserve">‐ </w:t>
      </w:r>
      <w:r w:rsidRPr="00D347E4">
        <w:rPr>
          <w:b/>
          <w:highlight w:val="yellow"/>
        </w:rPr>
        <w:t>Epazote‐Tee</w:t>
      </w:r>
      <w:r w:rsidRPr="008F30A2">
        <w:rPr>
          <w:highlight w:val="yellow"/>
        </w:rPr>
        <w:t xml:space="preserve"> (Wohlriechender Gänsefuß):</w:t>
      </w:r>
      <w:r>
        <w:t xml:space="preserve"> 1‐2 Esslöffel Epazote‐Blätter in</w:t>
      </w:r>
      <w:r w:rsidR="00D347E4">
        <w:t xml:space="preserve"> </w:t>
      </w:r>
      <w:r>
        <w:t>einem Liter Wasser 10 Minuten lang kochen, dann 3 Minuten ziehen lassen und abseihen.</w:t>
      </w:r>
    </w:p>
    <w:p w:rsidR="008F30A2" w:rsidRDefault="008F30A2" w:rsidP="008F30A2">
      <w:r>
        <w:t>An 3 aufeinanderfolgenden Tagen eine Tasse auf nüchternen Magen trinken.</w:t>
      </w:r>
    </w:p>
    <w:p w:rsidR="008F30A2" w:rsidRDefault="008F30A2" w:rsidP="008F30A2">
      <w:r>
        <w:t>Epazote‐Tee nicht bei Schwangerschaft anwenden.</w:t>
      </w:r>
    </w:p>
    <w:p w:rsidR="008F30A2" w:rsidRDefault="008F30A2" w:rsidP="008F30A2">
      <w:r>
        <w:t>‐ An den anderen Tagen trinken Sie ein halbes Glas naturbelassenen Saft des Fruchtfleisches</w:t>
      </w:r>
      <w:r w:rsidR="00D347E4">
        <w:t xml:space="preserve"> </w:t>
      </w:r>
      <w:r>
        <w:t xml:space="preserve">der </w:t>
      </w:r>
      <w:r w:rsidRPr="00D347E4">
        <w:rPr>
          <w:b/>
          <w:highlight w:val="yellow"/>
        </w:rPr>
        <w:t>Aloe Vera</w:t>
      </w:r>
      <w:r>
        <w:t xml:space="preserve"> auf nüchternen Magen. Suchen Sie nach Geschäften, die das Produkt</w:t>
      </w:r>
      <w:r w:rsidR="00D347E4">
        <w:t xml:space="preserve"> </w:t>
      </w:r>
      <w:r>
        <w:t>in trinkbarer Form anbieten, ohne Konservierungsstoffe oder andere Zusatzstoffe.</w:t>
      </w:r>
    </w:p>
    <w:p w:rsidR="008F30A2" w:rsidRDefault="008F30A2" w:rsidP="008F30A2">
      <w:r>
        <w:t>‐ Führen Sie Einläufe nach Bedarf durch.</w:t>
      </w:r>
    </w:p>
    <w:p w:rsidR="008F30A2" w:rsidRDefault="008F30A2" w:rsidP="00D347E4">
      <w:pPr>
        <w:pStyle w:val="berschrift4"/>
      </w:pPr>
      <w:r>
        <w:t>Dritter Monat</w:t>
      </w:r>
    </w:p>
    <w:p w:rsidR="008F30A2" w:rsidRDefault="008F30A2" w:rsidP="008F30A2">
      <w:r>
        <w:t>• Tag 1 bis 8 (siehe erster Monat)</w:t>
      </w:r>
    </w:p>
    <w:p w:rsidR="008F30A2" w:rsidRDefault="008F30A2" w:rsidP="008F30A2">
      <w:r>
        <w:t>• Tag 9 bis 18</w:t>
      </w:r>
    </w:p>
    <w:p w:rsidR="008F30A2" w:rsidRDefault="008F30A2" w:rsidP="008F30A2">
      <w:r>
        <w:t>‐ Rizinusöl: Nehmen Sie zwei Esslöffel auf nüchternen Magen. Wiederholen Sie die</w:t>
      </w:r>
    </w:p>
    <w:p w:rsidR="008F30A2" w:rsidRDefault="008F30A2" w:rsidP="008F30A2">
      <w:r>
        <w:t>Einnahme je nach Bedarf. Bei anhaltendem Durchfall absetzen.</w:t>
      </w:r>
    </w:p>
    <w:p w:rsidR="008F30A2" w:rsidRDefault="008F30A2" w:rsidP="008F30A2">
      <w:r>
        <w:t>‐ Kieselgur: Wie an Tag 1, einen Teelöffel zweimal täglich zu den Mahlzeiten (morgens</w:t>
      </w:r>
      <w:r w:rsidR="00D347E4">
        <w:t xml:space="preserve"> </w:t>
      </w:r>
      <w:r>
        <w:t>und abends), vorzugsweise mit Flüssigkeit. ODER kombinieren Sie einen halben Teelöffel</w:t>
      </w:r>
      <w:r w:rsidR="00D347E4">
        <w:t xml:space="preserve"> </w:t>
      </w:r>
      <w:r>
        <w:t>(Plastik‐/Holzlöffel) Zeolith‐Klinoptilolith mit einem halben Teelöffel Kieselgur zweimal</w:t>
      </w:r>
      <w:r w:rsidR="00D347E4">
        <w:t xml:space="preserve"> </w:t>
      </w:r>
      <w:r>
        <w:t>täglich zu den Mahlzeiten (morgens und abends), vorzugsweise mit Flüssigkeit.</w:t>
      </w:r>
    </w:p>
    <w:p w:rsidR="008F30A2" w:rsidRDefault="008F30A2" w:rsidP="008F30A2">
      <w:r>
        <w:t>‐ Neem‐Tee für 9 Tage oder, wenn nicht vorhanden, verwenden Sie einen anderen</w:t>
      </w:r>
      <w:r w:rsidR="00D347E4">
        <w:t xml:space="preserve"> </w:t>
      </w:r>
      <w:r>
        <w:t>antiparasitär wirkenden Tee.</w:t>
      </w:r>
    </w:p>
    <w:p w:rsidR="008F30A2" w:rsidRDefault="008F30A2" w:rsidP="008F30A2">
      <w:r>
        <w:t>‐ Führen Sie so regelmäßig wie möglich Einläufe durch.</w:t>
      </w:r>
    </w:p>
    <w:p w:rsidR="008F30A2" w:rsidRDefault="008F30A2" w:rsidP="008F30A2">
      <w:r>
        <w:lastRenderedPageBreak/>
        <w:t>‐ Wenn nach dem dritten Monat immer noch Parasiten oder große Mengen an Schleim</w:t>
      </w:r>
      <w:r w:rsidR="00D347E4">
        <w:t xml:space="preserve"> </w:t>
      </w:r>
      <w:r>
        <w:t>ausgeschieden werden, kann das Protokoll ab dem ersten Monat wiederholt werden.</w:t>
      </w:r>
    </w:p>
    <w:p w:rsidR="008F30A2" w:rsidRDefault="008F30A2" w:rsidP="00D347E4">
      <w:pPr>
        <w:pStyle w:val="berschrift4"/>
      </w:pPr>
      <w:r>
        <w:t>Hinweis:</w:t>
      </w:r>
    </w:p>
    <w:p w:rsidR="008F30A2" w:rsidRDefault="008F30A2" w:rsidP="008F30A2">
      <w:r>
        <w:t>• Einnahme anderer Medikamente: Mebendazol hat keine Wechselwirkung mit Chlordioxid.</w:t>
      </w:r>
    </w:p>
    <w:p w:rsidR="008F30A2" w:rsidRDefault="008F30A2" w:rsidP="008F30A2">
      <w:r>
        <w:t>Sie sollten Mebendazol nicht mit Metronidazol mischen, da diese Kombination</w:t>
      </w:r>
      <w:r w:rsidR="00D347E4">
        <w:t xml:space="preserve"> </w:t>
      </w:r>
      <w:r>
        <w:t>das Stevens‐Johnson‐Syndrom auslösen kann, das schwerwiegende Folgen haben kann.</w:t>
      </w:r>
    </w:p>
    <w:p w:rsidR="008F30A2" w:rsidRDefault="008F30A2" w:rsidP="008F30A2">
      <w:r>
        <w:t>• Unerwünschte Nebenwirkungen: Mebendazol kann unerwünschte Wirkungen</w:t>
      </w:r>
      <w:r w:rsidR="00D347E4">
        <w:t xml:space="preserve"> </w:t>
      </w:r>
      <w:r>
        <w:t>wie Übelkeit, Erbrechen, Bauchschmerzen und Durchfall hervorrufen, da durch das</w:t>
      </w:r>
      <w:r w:rsidR="00D347E4">
        <w:t xml:space="preserve"> </w:t>
      </w:r>
      <w:r>
        <w:t>Absterben der Parasiten Giftstoffe freigesetzt werden können. Sie sollten sich dieser</w:t>
      </w:r>
      <w:r w:rsidR="00D347E4">
        <w:t xml:space="preserve"> </w:t>
      </w:r>
      <w:r>
        <w:t>eventuellen Nebenwirkungen bewusst sein.</w:t>
      </w:r>
    </w:p>
    <w:p w:rsidR="008F30A2" w:rsidRDefault="008F30A2" w:rsidP="008F30A2">
      <w:r>
        <w:t>• Verabreichung bei Kindern: Mebendazol kann auch bei Kindern wirksam verabreicht werden.</w:t>
      </w:r>
    </w:p>
    <w:p w:rsidR="008F30A2" w:rsidRDefault="008F30A2" w:rsidP="008F30A2">
      <w:r>
        <w:t>Besonders gut funktioniert dies über einen kleinen Spritzer, welcher rektal verabreicht wird.</w:t>
      </w:r>
    </w:p>
    <w:p w:rsidR="008F30A2" w:rsidRDefault="008F30A2" w:rsidP="008F30A2">
      <w:r>
        <w:t>Dabei wird das Mebendazol mit ein wenig lauwarmem Wasser verdünnt. Diese Form</w:t>
      </w:r>
      <w:r w:rsidR="00D347E4">
        <w:t xml:space="preserve"> </w:t>
      </w:r>
      <w:r>
        <w:t xml:space="preserve">der Verabreichung ist besonders bei Madenwürmern nützlich. (Wenn Mebendazol in </w:t>
      </w:r>
      <w:proofErr w:type="gramStart"/>
      <w:r>
        <w:t>Tabletten‐form</w:t>
      </w:r>
      <w:proofErr w:type="gramEnd"/>
      <w:r>
        <w:t xml:space="preserve"> vorliegt, zermahlen Sie die Tablette und verdünnen Sie das Pulver mit Wasser,</w:t>
      </w:r>
      <w:r w:rsidR="00D347E4">
        <w:t xml:space="preserve"> </w:t>
      </w:r>
      <w:r>
        <w:t>bevor Sie es rektal verabreichen.)</w:t>
      </w:r>
    </w:p>
    <w:p w:rsidR="00D347E4" w:rsidRDefault="00D347E4" w:rsidP="008F30A2"/>
    <w:p w:rsidR="00D347E4" w:rsidRDefault="00D347E4" w:rsidP="008F30A2"/>
    <w:p w:rsidR="00EE3AA5" w:rsidRDefault="008F30A2" w:rsidP="008F30A2">
      <w:r>
        <w:t>Neue Protokolle Andreas Kalcker ∙ Stand August 2025 ∙ www.andreaskalcker.com ∙ ZUM INHALTSVERZEICHNIS 25 / 47</w:t>
      </w:r>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A2"/>
    <w:rsid w:val="00006D29"/>
    <w:rsid w:val="0007601C"/>
    <w:rsid w:val="00141C24"/>
    <w:rsid w:val="00147A65"/>
    <w:rsid w:val="002B2D77"/>
    <w:rsid w:val="00317B3A"/>
    <w:rsid w:val="003A02B1"/>
    <w:rsid w:val="003E4A3C"/>
    <w:rsid w:val="003F1352"/>
    <w:rsid w:val="0053334A"/>
    <w:rsid w:val="0059356F"/>
    <w:rsid w:val="005A0C8A"/>
    <w:rsid w:val="005B3949"/>
    <w:rsid w:val="005E2B80"/>
    <w:rsid w:val="00620F96"/>
    <w:rsid w:val="00635562"/>
    <w:rsid w:val="007056E5"/>
    <w:rsid w:val="007974B7"/>
    <w:rsid w:val="008831D6"/>
    <w:rsid w:val="008F30A2"/>
    <w:rsid w:val="0099706E"/>
    <w:rsid w:val="009D4660"/>
    <w:rsid w:val="00AD6727"/>
    <w:rsid w:val="00B95414"/>
    <w:rsid w:val="00BD3F5F"/>
    <w:rsid w:val="00CA4B46"/>
    <w:rsid w:val="00CC0C13"/>
    <w:rsid w:val="00D26C92"/>
    <w:rsid w:val="00D347E4"/>
    <w:rsid w:val="00E54996"/>
    <w:rsid w:val="00EB032A"/>
    <w:rsid w:val="00EC60FD"/>
    <w:rsid w:val="00EE3AA5"/>
    <w:rsid w:val="00F11785"/>
    <w:rsid w:val="00F45279"/>
    <w:rsid w:val="00FB0B60"/>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E12A"/>
  <w15:chartTrackingRefBased/>
  <w15:docId w15:val="{5EA5E8B1-4DCC-44C0-829D-AE4254B5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D26C92"/>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635562"/>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59356F"/>
    <w:pPr>
      <w:keepNext/>
      <w:keepLines/>
      <w:spacing w:before="240" w:after="120"/>
      <w:jc w:val="center"/>
      <w:outlineLvl w:val="4"/>
    </w:pPr>
    <w:rPr>
      <w:rFonts w:asciiTheme="majorHAnsi" w:eastAsia="Calibri" w:hAnsiTheme="majorHAnsi" w:cs="Calibri"/>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C92"/>
    <w:rPr>
      <w:rFonts w:asciiTheme="majorHAnsi" w:eastAsia="Times New Roman" w:hAnsiTheme="majorHAnsi" w:cstheme="majorHAnsi"/>
      <w:b/>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635562"/>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59356F"/>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70F64-2A0A-4EEB-8008-9C3608D31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7454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2025-11-13T08:27:00Z</dcterms:created>
  <dcterms:modified xsi:type="dcterms:W3CDTF">2025-11-17T15:04:00Z</dcterms:modified>
</cp:coreProperties>
</file>